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09" w:rsidRPr="00C74A09" w:rsidRDefault="00C74A09" w:rsidP="00C74A09">
      <w:pPr>
        <w:spacing w:before="100" w:beforeAutospacing="1" w:after="100" w:afterAutospacing="1" w:line="240" w:lineRule="auto"/>
        <w:ind w:left="951" w:right="2853"/>
        <w:rPr>
          <w:rFonts w:ascii="Arial" w:eastAsia="Times New Roman" w:hAnsi="Arial" w:cs="Arial"/>
          <w:color w:val="000000"/>
          <w:sz w:val="20"/>
          <w:szCs w:val="20"/>
        </w:rPr>
      </w:pPr>
      <w:r w:rsidRPr="00C74A09">
        <w:rPr>
          <w:rFonts w:ascii="Arial" w:eastAsia="Times New Roman" w:hAnsi="Arial" w:cs="Arial"/>
          <w:color w:val="000000"/>
          <w:sz w:val="20"/>
          <w:szCs w:val="20"/>
        </w:rPr>
        <w:t>Na osnovu članka 26. stavka 1. i 12. Zakona o komunalnom gospodarstvu (Narodne novine broj 36/95; 70/97; 128/99; 57/00; 129/00 i 59/01.) i članka 9. Statuta Općine Brckovljani (Službeni glasnik općine Brckovljani broj 5/01.) Općinsko vijeće općine Brckovljani na 11. sjednici održanoj 30.12. 2002. godine donijelo je</w:t>
      </w:r>
    </w:p>
    <w:p w:rsidR="00C74A09" w:rsidRPr="00C74A09" w:rsidRDefault="00C74A09" w:rsidP="00C74A09">
      <w:pPr>
        <w:spacing w:before="217" w:after="109" w:line="217" w:lineRule="atLeast"/>
        <w:ind w:left="951" w:right="951"/>
        <w:jc w:val="center"/>
        <w:rPr>
          <w:rFonts w:ascii="Arial" w:eastAsia="Times New Roman" w:hAnsi="Arial" w:cs="Arial"/>
          <w:b/>
          <w:bCs/>
          <w:color w:val="000000"/>
          <w:sz w:val="20"/>
          <w:szCs w:val="20"/>
        </w:rPr>
      </w:pPr>
      <w:r w:rsidRPr="00C74A09">
        <w:rPr>
          <w:rFonts w:ascii="Arial" w:eastAsia="Times New Roman" w:hAnsi="Arial" w:cs="Arial"/>
          <w:b/>
          <w:bCs/>
          <w:color w:val="000000"/>
          <w:sz w:val="20"/>
          <w:szCs w:val="20"/>
        </w:rPr>
        <w:t>ODLUKU</w:t>
      </w:r>
      <w:r w:rsidRPr="00C74A09">
        <w:rPr>
          <w:rFonts w:ascii="Arial" w:eastAsia="Times New Roman" w:hAnsi="Arial" w:cs="Arial"/>
          <w:b/>
          <w:bCs/>
          <w:color w:val="000000"/>
          <w:sz w:val="20"/>
          <w:szCs w:val="20"/>
        </w:rPr>
        <w:br/>
        <w:t>o izmjeni i dopuni Odluke o priključenju na </w:t>
      </w:r>
      <w:r w:rsidRPr="00C74A09">
        <w:rPr>
          <w:rFonts w:ascii="Arial" w:eastAsia="Times New Roman" w:hAnsi="Arial" w:cs="Arial"/>
          <w:b/>
          <w:bCs/>
          <w:color w:val="000000"/>
          <w:sz w:val="20"/>
          <w:szCs w:val="20"/>
        </w:rPr>
        <w:br/>
        <w:t>komunalnu infrastrukturu na području Općine Brckovljani</w:t>
      </w:r>
    </w:p>
    <w:p w:rsidR="00C74A09" w:rsidRPr="00C74A09" w:rsidRDefault="00C74A09" w:rsidP="00C74A09">
      <w:pPr>
        <w:spacing w:before="217" w:after="109" w:line="217" w:lineRule="atLeast"/>
        <w:ind w:left="951" w:right="951"/>
        <w:jc w:val="center"/>
        <w:rPr>
          <w:rFonts w:ascii="Arial" w:eastAsia="Times New Roman" w:hAnsi="Arial" w:cs="Arial"/>
          <w:b/>
          <w:bCs/>
          <w:color w:val="000000"/>
          <w:sz w:val="20"/>
          <w:szCs w:val="20"/>
        </w:rPr>
      </w:pPr>
      <w:r w:rsidRPr="00C74A09">
        <w:rPr>
          <w:rFonts w:ascii="Arial" w:eastAsia="Times New Roman" w:hAnsi="Arial" w:cs="Arial"/>
          <w:b/>
          <w:bCs/>
          <w:color w:val="000000"/>
          <w:sz w:val="20"/>
          <w:szCs w:val="20"/>
        </w:rPr>
        <w:t>Članak 1.</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Članak 6. Odluke o priključenju na komunalnu infrastrukturu na području Općine Brckovljani (Službeni glasnik općine Brckovljani broj 1/02.) mijenja se i glasi:</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Visina naknade za priključenje objekata za potrebe stanovanja na komunalnu infrastrukturu iznosi:</w:t>
      </w:r>
    </w:p>
    <w:p w:rsidR="00C74A09" w:rsidRPr="00C74A09" w:rsidRDefault="00C74A09" w:rsidP="00C74A09">
      <w:pPr>
        <w:spacing w:before="14" w:after="14" w:line="240" w:lineRule="auto"/>
        <w:ind w:left="951" w:right="951"/>
        <w:jc w:val="both"/>
        <w:rPr>
          <w:rFonts w:ascii="Arial" w:eastAsia="Times New Roman" w:hAnsi="Arial" w:cs="Arial"/>
          <w:color w:val="000000"/>
          <w:sz w:val="20"/>
          <w:szCs w:val="20"/>
        </w:rPr>
      </w:pPr>
      <w:r w:rsidRPr="00C74A09">
        <w:rPr>
          <w:rFonts w:ascii="Arial" w:eastAsia="Times New Roman" w:hAnsi="Arial" w:cs="Arial"/>
          <w:color w:val="000000"/>
          <w:sz w:val="20"/>
          <w:szCs w:val="20"/>
        </w:rPr>
        <w:t> </w:t>
      </w:r>
    </w:p>
    <w:tbl>
      <w:tblPr>
        <w:tblW w:w="7500" w:type="dxa"/>
        <w:jc w:val="center"/>
        <w:tblCellSpacing w:w="0" w:type="dxa"/>
        <w:tblCellMar>
          <w:top w:w="30" w:type="dxa"/>
          <w:left w:w="30" w:type="dxa"/>
          <w:bottom w:w="30" w:type="dxa"/>
          <w:right w:w="30" w:type="dxa"/>
        </w:tblCellMar>
        <w:tblLook w:val="04A0"/>
      </w:tblPr>
      <w:tblGrid>
        <w:gridCol w:w="414"/>
        <w:gridCol w:w="5569"/>
        <w:gridCol w:w="994"/>
        <w:gridCol w:w="523"/>
      </w:tblGrid>
      <w:tr w:rsidR="00C74A09" w:rsidRPr="00C74A09" w:rsidTr="00C74A09">
        <w:trPr>
          <w:trHeight w:val="255"/>
          <w:tblCellSpacing w:w="0" w:type="dxa"/>
          <w:jc w:val="center"/>
        </w:trPr>
        <w:tc>
          <w:tcPr>
            <w:tcW w:w="435" w:type="dxa"/>
            <w:hideMark/>
          </w:tcPr>
          <w:p w:rsidR="00C74A09" w:rsidRPr="00C74A09" w:rsidRDefault="00C74A09" w:rsidP="00C74A09">
            <w:pPr>
              <w:spacing w:after="0" w:line="240" w:lineRule="auto"/>
              <w:jc w:val="right"/>
              <w:rPr>
                <w:rFonts w:ascii="Times New Roman" w:eastAsia="Times New Roman" w:hAnsi="Times New Roman" w:cs="Times New Roman"/>
                <w:sz w:val="24"/>
                <w:szCs w:val="24"/>
              </w:rPr>
            </w:pPr>
            <w:r w:rsidRPr="00C74A09">
              <w:rPr>
                <w:rFonts w:ascii="Arial" w:eastAsia="Times New Roman" w:hAnsi="Arial" w:cs="Arial"/>
                <w:sz w:val="20"/>
                <w:szCs w:val="20"/>
              </w:rPr>
              <w:t>- </w:t>
            </w:r>
          </w:p>
        </w:tc>
        <w:tc>
          <w:tcPr>
            <w:tcW w:w="5880" w:type="dxa"/>
            <w:hideMark/>
          </w:tcPr>
          <w:p w:rsidR="00C74A09" w:rsidRPr="00C74A09" w:rsidRDefault="00C74A09" w:rsidP="00C74A09">
            <w:pPr>
              <w:spacing w:before="100" w:beforeAutospacing="1" w:after="100" w:afterAutospacing="1" w:line="240" w:lineRule="auto"/>
              <w:rPr>
                <w:rFonts w:ascii="Times New Roman" w:eastAsia="Times New Roman" w:hAnsi="Times New Roman" w:cs="Times New Roman"/>
                <w:sz w:val="24"/>
                <w:szCs w:val="24"/>
              </w:rPr>
            </w:pPr>
            <w:r w:rsidRPr="00C74A09">
              <w:rPr>
                <w:rFonts w:ascii="Arial" w:eastAsia="Times New Roman" w:hAnsi="Arial" w:cs="Arial"/>
                <w:sz w:val="20"/>
                <w:szCs w:val="20"/>
              </w:rPr>
              <w:t> za priključenje na plinsku mrežu</w:t>
            </w:r>
          </w:p>
        </w:tc>
        <w:tc>
          <w:tcPr>
            <w:tcW w:w="1005" w:type="dxa"/>
            <w:hideMark/>
          </w:tcPr>
          <w:p w:rsidR="00C74A09" w:rsidRPr="00C74A09" w:rsidRDefault="00C74A09" w:rsidP="00C74A09">
            <w:pPr>
              <w:spacing w:before="100" w:beforeAutospacing="1" w:after="100" w:afterAutospacing="1" w:line="240" w:lineRule="auto"/>
              <w:jc w:val="right"/>
              <w:rPr>
                <w:rFonts w:ascii="Times New Roman" w:eastAsia="Times New Roman" w:hAnsi="Times New Roman" w:cs="Times New Roman"/>
                <w:sz w:val="24"/>
                <w:szCs w:val="24"/>
              </w:rPr>
            </w:pPr>
            <w:r w:rsidRPr="00C74A09">
              <w:rPr>
                <w:rFonts w:ascii="Arial" w:eastAsia="Times New Roman" w:hAnsi="Arial" w:cs="Arial"/>
                <w:sz w:val="20"/>
                <w:szCs w:val="20"/>
              </w:rPr>
              <w:t>5.200,00</w:t>
            </w:r>
          </w:p>
        </w:tc>
        <w:tc>
          <w:tcPr>
            <w:tcW w:w="525" w:type="dxa"/>
            <w:hideMark/>
          </w:tcPr>
          <w:p w:rsidR="00C74A09" w:rsidRPr="00C74A09" w:rsidRDefault="00C74A09" w:rsidP="00C74A09">
            <w:pPr>
              <w:spacing w:before="100" w:beforeAutospacing="1" w:after="100" w:afterAutospacing="1" w:line="240" w:lineRule="auto"/>
              <w:rPr>
                <w:rFonts w:ascii="Times New Roman" w:eastAsia="Times New Roman" w:hAnsi="Times New Roman" w:cs="Times New Roman"/>
                <w:sz w:val="24"/>
                <w:szCs w:val="24"/>
              </w:rPr>
            </w:pPr>
            <w:r w:rsidRPr="00C74A09">
              <w:rPr>
                <w:rFonts w:ascii="Arial" w:eastAsia="Times New Roman" w:hAnsi="Arial" w:cs="Arial"/>
                <w:sz w:val="20"/>
                <w:szCs w:val="20"/>
              </w:rPr>
              <w:t>kuna</w:t>
            </w:r>
          </w:p>
        </w:tc>
      </w:tr>
      <w:tr w:rsidR="00C74A09" w:rsidRPr="00C74A09" w:rsidTr="00C74A09">
        <w:trPr>
          <w:trHeight w:val="195"/>
          <w:tblCellSpacing w:w="0" w:type="dxa"/>
          <w:jc w:val="center"/>
        </w:trPr>
        <w:tc>
          <w:tcPr>
            <w:tcW w:w="435" w:type="dxa"/>
            <w:hideMark/>
          </w:tcPr>
          <w:p w:rsidR="00C74A09" w:rsidRPr="00C74A09" w:rsidRDefault="00C74A09" w:rsidP="00C74A09">
            <w:pPr>
              <w:spacing w:after="0" w:line="195"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 </w:t>
            </w:r>
          </w:p>
        </w:tc>
        <w:tc>
          <w:tcPr>
            <w:tcW w:w="5880" w:type="dxa"/>
            <w:hideMark/>
          </w:tcPr>
          <w:p w:rsidR="00C74A09" w:rsidRPr="00C74A09" w:rsidRDefault="00C74A09" w:rsidP="00C74A09">
            <w:pPr>
              <w:spacing w:before="100" w:beforeAutospacing="1" w:after="100" w:afterAutospacing="1" w:line="195" w:lineRule="atLeast"/>
              <w:rPr>
                <w:rFonts w:ascii="Times New Roman" w:eastAsia="Times New Roman" w:hAnsi="Times New Roman" w:cs="Times New Roman"/>
                <w:sz w:val="24"/>
                <w:szCs w:val="24"/>
              </w:rPr>
            </w:pPr>
            <w:r w:rsidRPr="00C74A09">
              <w:rPr>
                <w:rFonts w:ascii="Arial" w:eastAsia="Times New Roman" w:hAnsi="Arial" w:cs="Arial"/>
                <w:sz w:val="20"/>
                <w:szCs w:val="20"/>
              </w:rPr>
              <w:t> za priključenje na vodovodnu mrežu</w:t>
            </w:r>
          </w:p>
        </w:tc>
        <w:tc>
          <w:tcPr>
            <w:tcW w:w="1005" w:type="dxa"/>
            <w:hideMark/>
          </w:tcPr>
          <w:p w:rsidR="00C74A09" w:rsidRPr="00C74A09" w:rsidRDefault="00C74A09" w:rsidP="00C74A09">
            <w:pPr>
              <w:spacing w:before="100" w:beforeAutospacing="1" w:after="100" w:afterAutospacing="1" w:line="195"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5.200,00</w:t>
            </w:r>
          </w:p>
        </w:tc>
        <w:tc>
          <w:tcPr>
            <w:tcW w:w="525" w:type="dxa"/>
            <w:hideMark/>
          </w:tcPr>
          <w:p w:rsidR="00C74A09" w:rsidRPr="00C74A09" w:rsidRDefault="00C74A09" w:rsidP="00C74A09">
            <w:pPr>
              <w:spacing w:before="100" w:beforeAutospacing="1" w:after="100" w:afterAutospacing="1" w:line="195" w:lineRule="atLeast"/>
              <w:rPr>
                <w:rFonts w:ascii="Times New Roman" w:eastAsia="Times New Roman" w:hAnsi="Times New Roman" w:cs="Times New Roman"/>
                <w:sz w:val="24"/>
                <w:szCs w:val="24"/>
              </w:rPr>
            </w:pPr>
            <w:r w:rsidRPr="00C74A09">
              <w:rPr>
                <w:rFonts w:ascii="Arial" w:eastAsia="Times New Roman" w:hAnsi="Arial" w:cs="Arial"/>
                <w:sz w:val="20"/>
                <w:szCs w:val="20"/>
              </w:rPr>
              <w:t>kuna</w:t>
            </w:r>
          </w:p>
        </w:tc>
      </w:tr>
      <w:tr w:rsidR="00C74A09" w:rsidRPr="00C74A09" w:rsidTr="00C74A09">
        <w:trPr>
          <w:trHeight w:val="450"/>
          <w:tblCellSpacing w:w="0" w:type="dxa"/>
          <w:jc w:val="center"/>
        </w:trPr>
        <w:tc>
          <w:tcPr>
            <w:tcW w:w="435" w:type="dxa"/>
            <w:hideMark/>
          </w:tcPr>
          <w:p w:rsidR="00C74A09" w:rsidRPr="00C74A09" w:rsidRDefault="00C74A09" w:rsidP="00C74A09">
            <w:pPr>
              <w:spacing w:after="0" w:line="240" w:lineRule="auto"/>
              <w:jc w:val="right"/>
              <w:rPr>
                <w:rFonts w:ascii="Times New Roman" w:eastAsia="Times New Roman" w:hAnsi="Times New Roman" w:cs="Times New Roman"/>
                <w:sz w:val="24"/>
                <w:szCs w:val="24"/>
              </w:rPr>
            </w:pPr>
            <w:r w:rsidRPr="00C74A09">
              <w:rPr>
                <w:rFonts w:ascii="Arial" w:eastAsia="Times New Roman" w:hAnsi="Arial" w:cs="Arial"/>
                <w:sz w:val="20"/>
                <w:szCs w:val="20"/>
              </w:rPr>
              <w:t>- </w:t>
            </w:r>
          </w:p>
        </w:tc>
        <w:tc>
          <w:tcPr>
            <w:tcW w:w="5880" w:type="dxa"/>
            <w:hideMark/>
          </w:tcPr>
          <w:p w:rsidR="00C74A09" w:rsidRPr="00C74A09" w:rsidRDefault="00C74A09" w:rsidP="00C74A09">
            <w:pPr>
              <w:spacing w:before="100" w:beforeAutospacing="1" w:after="100" w:afterAutospacing="1" w:line="240" w:lineRule="auto"/>
              <w:rPr>
                <w:rFonts w:ascii="Times New Roman" w:eastAsia="Times New Roman" w:hAnsi="Times New Roman" w:cs="Times New Roman"/>
                <w:sz w:val="24"/>
                <w:szCs w:val="24"/>
              </w:rPr>
            </w:pPr>
            <w:r w:rsidRPr="00C74A09">
              <w:rPr>
                <w:rFonts w:ascii="Arial" w:eastAsia="Times New Roman" w:hAnsi="Arial" w:cs="Arial"/>
                <w:sz w:val="20"/>
                <w:szCs w:val="20"/>
              </w:rPr>
              <w:t> za priključenje na sistem odvodnje i pročišćavanja otpadnih voda (kanalizacija)</w:t>
            </w:r>
          </w:p>
        </w:tc>
        <w:tc>
          <w:tcPr>
            <w:tcW w:w="1005" w:type="dxa"/>
            <w:hideMark/>
          </w:tcPr>
          <w:p w:rsidR="00C74A09" w:rsidRPr="00C74A09" w:rsidRDefault="00C74A09" w:rsidP="00C74A09">
            <w:pPr>
              <w:spacing w:before="100" w:beforeAutospacing="1" w:after="100" w:afterAutospacing="1" w:line="240" w:lineRule="auto"/>
              <w:jc w:val="right"/>
              <w:rPr>
                <w:rFonts w:ascii="Times New Roman" w:eastAsia="Times New Roman" w:hAnsi="Times New Roman" w:cs="Times New Roman"/>
                <w:sz w:val="24"/>
                <w:szCs w:val="24"/>
              </w:rPr>
            </w:pPr>
            <w:r w:rsidRPr="00C74A09">
              <w:rPr>
                <w:rFonts w:ascii="Arial" w:eastAsia="Times New Roman" w:hAnsi="Arial" w:cs="Arial"/>
                <w:sz w:val="20"/>
                <w:szCs w:val="20"/>
              </w:rPr>
              <w:t>5.200,00</w:t>
            </w:r>
          </w:p>
        </w:tc>
        <w:tc>
          <w:tcPr>
            <w:tcW w:w="525" w:type="dxa"/>
            <w:hideMark/>
          </w:tcPr>
          <w:p w:rsidR="00C74A09" w:rsidRPr="00C74A09" w:rsidRDefault="00C74A09" w:rsidP="00C74A09">
            <w:pPr>
              <w:spacing w:before="100" w:beforeAutospacing="1" w:after="100" w:afterAutospacing="1" w:line="240" w:lineRule="auto"/>
              <w:rPr>
                <w:rFonts w:ascii="Times New Roman" w:eastAsia="Times New Roman" w:hAnsi="Times New Roman" w:cs="Times New Roman"/>
                <w:sz w:val="24"/>
                <w:szCs w:val="24"/>
              </w:rPr>
            </w:pPr>
            <w:r w:rsidRPr="00C74A09">
              <w:rPr>
                <w:rFonts w:ascii="Arial" w:eastAsia="Times New Roman" w:hAnsi="Arial" w:cs="Arial"/>
                <w:sz w:val="20"/>
                <w:szCs w:val="20"/>
              </w:rPr>
              <w:t>kuna</w:t>
            </w:r>
          </w:p>
        </w:tc>
      </w:tr>
    </w:tbl>
    <w:p w:rsidR="00C74A09" w:rsidRPr="00C74A09" w:rsidRDefault="00C74A09" w:rsidP="00C74A09">
      <w:pPr>
        <w:spacing w:before="14" w:after="14" w:line="240" w:lineRule="auto"/>
        <w:ind w:left="951" w:right="951"/>
        <w:jc w:val="both"/>
        <w:rPr>
          <w:rFonts w:ascii="Arial" w:eastAsia="Times New Roman" w:hAnsi="Arial" w:cs="Arial"/>
          <w:color w:val="000000"/>
          <w:sz w:val="20"/>
          <w:szCs w:val="20"/>
        </w:rPr>
      </w:pPr>
      <w:r w:rsidRPr="00C74A09">
        <w:rPr>
          <w:rFonts w:ascii="Arial" w:eastAsia="Times New Roman" w:hAnsi="Arial" w:cs="Arial"/>
          <w:color w:val="000000"/>
          <w:sz w:val="20"/>
          <w:szCs w:val="20"/>
        </w:rPr>
        <w:t> </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Naknada za priključenje na komunalnu infrastrukturu za vinogradske klijeti, vikendice, garaže ili samo šahta na zemljištu na kojem nije dozvoljena gradnja obračunava se u iznosima kao za objekte za potrebe stanovanja.</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Za poslovne, gospodarske objekte, objekte ustanova i udruga naknada za priključenje na komunalnu infrastrukturu naplaćuje se po brutto površini (BRP) objekta koji se priključuje na:</w:t>
      </w:r>
    </w:p>
    <w:p w:rsidR="00C74A09" w:rsidRPr="00C74A09" w:rsidRDefault="00C74A09" w:rsidP="00C74A09">
      <w:pPr>
        <w:spacing w:before="14" w:after="14" w:line="240" w:lineRule="auto"/>
        <w:ind w:left="951" w:right="951"/>
        <w:jc w:val="both"/>
        <w:rPr>
          <w:rFonts w:ascii="Arial" w:eastAsia="Times New Roman" w:hAnsi="Arial" w:cs="Arial"/>
          <w:color w:val="000000"/>
          <w:sz w:val="20"/>
          <w:szCs w:val="20"/>
        </w:rPr>
      </w:pPr>
      <w:r w:rsidRPr="00C74A09">
        <w:rPr>
          <w:rFonts w:ascii="Arial" w:eastAsia="Times New Roman" w:hAnsi="Arial" w:cs="Arial"/>
          <w:color w:val="000000"/>
          <w:sz w:val="20"/>
          <w:szCs w:val="20"/>
        </w:rPr>
        <w:t> </w:t>
      </w:r>
    </w:p>
    <w:tbl>
      <w:tblPr>
        <w:tblW w:w="6750" w:type="dxa"/>
        <w:jc w:val="center"/>
        <w:tblCellSpacing w:w="0" w:type="dxa"/>
        <w:tblCellMar>
          <w:top w:w="30" w:type="dxa"/>
          <w:left w:w="30" w:type="dxa"/>
          <w:bottom w:w="30" w:type="dxa"/>
          <w:right w:w="30" w:type="dxa"/>
        </w:tblCellMar>
        <w:tblLook w:val="04A0"/>
      </w:tblPr>
      <w:tblGrid>
        <w:gridCol w:w="830"/>
        <w:gridCol w:w="3648"/>
        <w:gridCol w:w="723"/>
        <w:gridCol w:w="866"/>
        <w:gridCol w:w="683"/>
      </w:tblGrid>
      <w:tr w:rsidR="00C74A09" w:rsidRPr="00C74A09" w:rsidTr="00C74A09">
        <w:trPr>
          <w:trHeight w:val="210"/>
          <w:tblCellSpacing w:w="0" w:type="dxa"/>
          <w:jc w:val="center"/>
        </w:trPr>
        <w:tc>
          <w:tcPr>
            <w:tcW w:w="975" w:type="dxa"/>
            <w:hideMark/>
          </w:tcPr>
          <w:p w:rsidR="00C74A09" w:rsidRPr="00C74A09" w:rsidRDefault="00C74A09" w:rsidP="00C74A09">
            <w:pPr>
              <w:spacing w:before="100" w:beforeAutospacing="1" w:after="100" w:afterAutospacing="1" w:line="210"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a)</w:t>
            </w:r>
          </w:p>
        </w:tc>
        <w:tc>
          <w:tcPr>
            <w:tcW w:w="4275"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vodovod</w:t>
            </w:r>
          </w:p>
        </w:tc>
        <w:tc>
          <w:tcPr>
            <w:tcW w:w="735" w:type="dxa"/>
            <w:hideMark/>
          </w:tcPr>
          <w:p w:rsidR="00C74A09" w:rsidRPr="00C74A09" w:rsidRDefault="00C74A09" w:rsidP="00C74A09">
            <w:pPr>
              <w:spacing w:before="100" w:beforeAutospacing="1" w:after="100" w:afterAutospacing="1" w:line="210"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50,00</w:t>
            </w:r>
          </w:p>
        </w:tc>
        <w:tc>
          <w:tcPr>
            <w:tcW w:w="930"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kn/m2</w:t>
            </w:r>
          </w:p>
        </w:tc>
        <w:tc>
          <w:tcPr>
            <w:tcW w:w="735"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BRP</w:t>
            </w:r>
          </w:p>
        </w:tc>
      </w:tr>
      <w:tr w:rsidR="00C74A09" w:rsidRPr="00C74A09" w:rsidTr="00C74A09">
        <w:trPr>
          <w:trHeight w:val="210"/>
          <w:tblCellSpacing w:w="0" w:type="dxa"/>
          <w:jc w:val="center"/>
        </w:trPr>
        <w:tc>
          <w:tcPr>
            <w:tcW w:w="975" w:type="dxa"/>
            <w:hideMark/>
          </w:tcPr>
          <w:p w:rsidR="00C74A09" w:rsidRPr="00C74A09" w:rsidRDefault="00C74A09" w:rsidP="00C74A09">
            <w:pPr>
              <w:spacing w:after="0" w:line="210"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b)</w:t>
            </w:r>
          </w:p>
        </w:tc>
        <w:tc>
          <w:tcPr>
            <w:tcW w:w="4275"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plinovod</w:t>
            </w:r>
          </w:p>
        </w:tc>
        <w:tc>
          <w:tcPr>
            <w:tcW w:w="735" w:type="dxa"/>
            <w:hideMark/>
          </w:tcPr>
          <w:p w:rsidR="00C74A09" w:rsidRPr="00C74A09" w:rsidRDefault="00C74A09" w:rsidP="00C74A09">
            <w:pPr>
              <w:spacing w:before="100" w:beforeAutospacing="1" w:after="100" w:afterAutospacing="1" w:line="210"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50,00</w:t>
            </w:r>
          </w:p>
        </w:tc>
        <w:tc>
          <w:tcPr>
            <w:tcW w:w="930"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kn/m2</w:t>
            </w:r>
          </w:p>
        </w:tc>
        <w:tc>
          <w:tcPr>
            <w:tcW w:w="735"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BRP</w:t>
            </w:r>
          </w:p>
        </w:tc>
      </w:tr>
      <w:tr w:rsidR="00C74A09" w:rsidRPr="00C74A09" w:rsidTr="00C74A09">
        <w:trPr>
          <w:trHeight w:val="210"/>
          <w:tblCellSpacing w:w="0" w:type="dxa"/>
          <w:jc w:val="center"/>
        </w:trPr>
        <w:tc>
          <w:tcPr>
            <w:tcW w:w="975" w:type="dxa"/>
            <w:hideMark/>
          </w:tcPr>
          <w:p w:rsidR="00C74A09" w:rsidRPr="00C74A09" w:rsidRDefault="00C74A09" w:rsidP="00C74A09">
            <w:pPr>
              <w:spacing w:after="0" w:line="210"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c)</w:t>
            </w:r>
          </w:p>
        </w:tc>
        <w:tc>
          <w:tcPr>
            <w:tcW w:w="4275"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kanalizaciju</w:t>
            </w:r>
          </w:p>
        </w:tc>
        <w:tc>
          <w:tcPr>
            <w:tcW w:w="735" w:type="dxa"/>
            <w:hideMark/>
          </w:tcPr>
          <w:p w:rsidR="00C74A09" w:rsidRPr="00C74A09" w:rsidRDefault="00C74A09" w:rsidP="00C74A09">
            <w:pPr>
              <w:spacing w:before="100" w:beforeAutospacing="1" w:after="100" w:afterAutospacing="1" w:line="210" w:lineRule="atLeast"/>
              <w:jc w:val="right"/>
              <w:rPr>
                <w:rFonts w:ascii="Times New Roman" w:eastAsia="Times New Roman" w:hAnsi="Times New Roman" w:cs="Times New Roman"/>
                <w:sz w:val="24"/>
                <w:szCs w:val="24"/>
              </w:rPr>
            </w:pPr>
            <w:r w:rsidRPr="00C74A09">
              <w:rPr>
                <w:rFonts w:ascii="Arial" w:eastAsia="Times New Roman" w:hAnsi="Arial" w:cs="Arial"/>
                <w:sz w:val="20"/>
                <w:szCs w:val="20"/>
              </w:rPr>
              <w:t>100,00</w:t>
            </w:r>
          </w:p>
        </w:tc>
        <w:tc>
          <w:tcPr>
            <w:tcW w:w="930"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kn/m2</w:t>
            </w:r>
          </w:p>
        </w:tc>
        <w:tc>
          <w:tcPr>
            <w:tcW w:w="735" w:type="dxa"/>
            <w:hideMark/>
          </w:tcPr>
          <w:p w:rsidR="00C74A09" w:rsidRPr="00C74A09" w:rsidRDefault="00C74A09" w:rsidP="00C74A09">
            <w:pPr>
              <w:spacing w:before="100" w:beforeAutospacing="1" w:after="100" w:afterAutospacing="1" w:line="210" w:lineRule="atLeast"/>
              <w:rPr>
                <w:rFonts w:ascii="Times New Roman" w:eastAsia="Times New Roman" w:hAnsi="Times New Roman" w:cs="Times New Roman"/>
                <w:sz w:val="24"/>
                <w:szCs w:val="24"/>
              </w:rPr>
            </w:pPr>
            <w:r w:rsidRPr="00C74A09">
              <w:rPr>
                <w:rFonts w:ascii="Arial" w:eastAsia="Times New Roman" w:hAnsi="Arial" w:cs="Arial"/>
                <w:sz w:val="20"/>
                <w:szCs w:val="20"/>
              </w:rPr>
              <w:t>BRP</w:t>
            </w:r>
          </w:p>
        </w:tc>
      </w:tr>
    </w:tbl>
    <w:p w:rsidR="00C74A09" w:rsidRPr="00C74A09" w:rsidRDefault="00C74A09" w:rsidP="00C74A09">
      <w:pPr>
        <w:spacing w:before="14" w:after="14" w:line="240" w:lineRule="auto"/>
        <w:ind w:left="951" w:right="951"/>
        <w:jc w:val="both"/>
        <w:rPr>
          <w:rFonts w:ascii="Arial" w:eastAsia="Times New Roman" w:hAnsi="Arial" w:cs="Arial"/>
          <w:color w:val="000000"/>
          <w:sz w:val="20"/>
          <w:szCs w:val="20"/>
        </w:rPr>
      </w:pPr>
      <w:r w:rsidRPr="00C74A09">
        <w:rPr>
          <w:rFonts w:ascii="Arial" w:eastAsia="Times New Roman" w:hAnsi="Arial" w:cs="Arial"/>
          <w:color w:val="000000"/>
          <w:sz w:val="20"/>
          <w:szCs w:val="20"/>
        </w:rPr>
        <w:t> </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U slučaju da je izračunati iznos iz stavka 3. ovog članka pojedinačno manji od propisane naknade iz stavka 1. ovog članka, primjenjuju se iznosi određeni u stavku 1. ovog članka kao za objekte stanovanja.</w:t>
      </w:r>
    </w:p>
    <w:p w:rsidR="00C74A09" w:rsidRPr="00C74A09" w:rsidRDefault="00C74A09" w:rsidP="00C74A09">
      <w:pPr>
        <w:spacing w:before="217" w:after="109" w:line="217" w:lineRule="atLeast"/>
        <w:ind w:left="951" w:right="951"/>
        <w:jc w:val="center"/>
        <w:rPr>
          <w:rFonts w:ascii="Arial" w:eastAsia="Times New Roman" w:hAnsi="Arial" w:cs="Arial"/>
          <w:b/>
          <w:bCs/>
          <w:color w:val="000000"/>
          <w:sz w:val="20"/>
          <w:szCs w:val="20"/>
        </w:rPr>
      </w:pPr>
      <w:r w:rsidRPr="00C74A09">
        <w:rPr>
          <w:rFonts w:ascii="Arial" w:eastAsia="Times New Roman" w:hAnsi="Arial" w:cs="Arial"/>
          <w:b/>
          <w:bCs/>
          <w:color w:val="000000"/>
          <w:sz w:val="20"/>
          <w:szCs w:val="20"/>
        </w:rPr>
        <w:t>Članak 2.</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U članku 7. stavku 1. dodaje se tekst:</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Ako je učešće vlasnika građevina u izgradnji objekata komunalne infrastrukture putem posebnih ugovora u pojedinačnim iznosima manje od naknade za priključenje na komunalnu infrastrukturu obračunate prema članku 6. (članak 1. ove Odluke) tada je vlasnik građevine prilikom priključenja građevine na komunalnu infrastrukturu dužan uplatiti razliku.</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Ako je učešće vlasnika građevine u izgradnji objekata komunalne infrastrukture putem posebnih ugovora u pojedinačnim iznosima veće od naknade za priključenje na komunalnu infrastrukturu obračunato prema članku 6. (članak 1. ove Odluke) tada se vlasniku građevine prilikom priključenja na komunalnu infrastrukturu neće vraćati razlika.</w:t>
      </w:r>
    </w:p>
    <w:p w:rsidR="00C74A09" w:rsidRPr="00C74A09" w:rsidRDefault="00C74A09" w:rsidP="00C74A09">
      <w:pPr>
        <w:spacing w:before="217" w:after="109" w:line="217" w:lineRule="atLeast"/>
        <w:ind w:left="951" w:right="951"/>
        <w:jc w:val="center"/>
        <w:rPr>
          <w:rFonts w:ascii="Arial" w:eastAsia="Times New Roman" w:hAnsi="Arial" w:cs="Arial"/>
          <w:b/>
          <w:bCs/>
          <w:color w:val="000000"/>
          <w:sz w:val="20"/>
          <w:szCs w:val="20"/>
        </w:rPr>
      </w:pPr>
      <w:r w:rsidRPr="00C74A09">
        <w:rPr>
          <w:rFonts w:ascii="Arial" w:eastAsia="Times New Roman" w:hAnsi="Arial" w:cs="Arial"/>
          <w:b/>
          <w:bCs/>
          <w:color w:val="000000"/>
          <w:sz w:val="20"/>
          <w:szCs w:val="20"/>
        </w:rPr>
        <w:t>Članak 3.</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U članku 7. iza stavka 8. dodaje se novi stavak i glasi: Poglavarstvo općine Brckovljani može u iznimnim slučajevima osloboditi vlasnika građevine plaćanja naknade za priključenje na komunalnu infrastrukturu po pismenom zahtjevu vlasnika građevine.</w:t>
      </w:r>
    </w:p>
    <w:p w:rsidR="00C74A09" w:rsidRPr="00C74A09" w:rsidRDefault="00C74A09" w:rsidP="00C74A09">
      <w:pPr>
        <w:spacing w:before="217" w:after="109" w:line="217" w:lineRule="atLeast"/>
        <w:ind w:left="951" w:right="951"/>
        <w:jc w:val="center"/>
        <w:rPr>
          <w:rFonts w:ascii="Arial" w:eastAsia="Times New Roman" w:hAnsi="Arial" w:cs="Arial"/>
          <w:b/>
          <w:bCs/>
          <w:color w:val="000000"/>
          <w:sz w:val="20"/>
          <w:szCs w:val="20"/>
        </w:rPr>
      </w:pPr>
      <w:r w:rsidRPr="00C74A09">
        <w:rPr>
          <w:rFonts w:ascii="Arial" w:eastAsia="Times New Roman" w:hAnsi="Arial" w:cs="Arial"/>
          <w:b/>
          <w:bCs/>
          <w:color w:val="000000"/>
          <w:sz w:val="20"/>
          <w:szCs w:val="20"/>
        </w:rPr>
        <w:lastRenderedPageBreak/>
        <w:t>Članak 4.</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Ova Odluka stupa na snagu danom objave u Službenom glasniku Općine Brckovljani.</w:t>
      </w:r>
    </w:p>
    <w:p w:rsidR="00C74A09" w:rsidRPr="00C74A09" w:rsidRDefault="00C74A09" w:rsidP="00C74A09">
      <w:pPr>
        <w:spacing w:before="14" w:after="14" w:line="240" w:lineRule="auto"/>
        <w:ind w:left="951" w:right="951"/>
        <w:jc w:val="both"/>
        <w:rPr>
          <w:rFonts w:ascii="Arial" w:eastAsia="Times New Roman" w:hAnsi="Arial" w:cs="Arial"/>
          <w:color w:val="000000"/>
          <w:sz w:val="20"/>
          <w:szCs w:val="20"/>
        </w:rPr>
      </w:pPr>
      <w:r w:rsidRPr="00C74A09">
        <w:rPr>
          <w:rFonts w:ascii="Arial" w:eastAsia="Times New Roman" w:hAnsi="Arial" w:cs="Arial"/>
          <w:color w:val="000000"/>
          <w:sz w:val="20"/>
          <w:szCs w:val="20"/>
        </w:rPr>
        <w:t> </w:t>
      </w:r>
    </w:p>
    <w:p w:rsidR="00C74A09" w:rsidRPr="00C74A09" w:rsidRDefault="00C74A09" w:rsidP="00C74A09">
      <w:pPr>
        <w:spacing w:before="109" w:after="109" w:line="217" w:lineRule="atLeast"/>
        <w:ind w:left="951" w:right="951"/>
        <w:jc w:val="right"/>
        <w:rPr>
          <w:rFonts w:ascii="Arial" w:eastAsia="Times New Roman" w:hAnsi="Arial" w:cs="Arial"/>
          <w:color w:val="000000"/>
          <w:sz w:val="20"/>
          <w:szCs w:val="20"/>
        </w:rPr>
      </w:pPr>
      <w:r w:rsidRPr="00C74A09">
        <w:rPr>
          <w:rFonts w:ascii="Arial" w:eastAsia="Times New Roman" w:hAnsi="Arial" w:cs="Arial"/>
          <w:color w:val="000000"/>
          <w:sz w:val="20"/>
          <w:szCs w:val="20"/>
        </w:rPr>
        <w:t>Predsjednik Općinskog vijeća</w:t>
      </w:r>
      <w:r w:rsidRPr="00C74A09">
        <w:rPr>
          <w:rFonts w:ascii="Arial" w:eastAsia="Times New Roman" w:hAnsi="Arial" w:cs="Arial"/>
          <w:color w:val="000000"/>
          <w:sz w:val="20"/>
          <w:szCs w:val="20"/>
        </w:rPr>
        <w:br/>
        <w:t>Općine Brckovljani</w:t>
      </w:r>
      <w:r w:rsidRPr="00C74A09">
        <w:rPr>
          <w:rFonts w:ascii="Arial" w:eastAsia="Times New Roman" w:hAnsi="Arial" w:cs="Arial"/>
          <w:color w:val="000000"/>
          <w:sz w:val="20"/>
          <w:szCs w:val="20"/>
        </w:rPr>
        <w:br/>
        <w:t>Milan Kralj, v.r.</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Klasa: 021-05/02-01/196</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Ur.broj: 238/04-02-1</w:t>
      </w:r>
    </w:p>
    <w:p w:rsidR="00C74A09" w:rsidRPr="00C74A09" w:rsidRDefault="00C74A09" w:rsidP="00C74A09">
      <w:pPr>
        <w:spacing w:before="14" w:after="14" w:line="240" w:lineRule="auto"/>
        <w:ind w:left="951" w:right="951" w:firstLine="272"/>
        <w:jc w:val="both"/>
        <w:rPr>
          <w:rFonts w:ascii="Arial" w:eastAsia="Times New Roman" w:hAnsi="Arial" w:cs="Arial"/>
          <w:color w:val="000000"/>
          <w:sz w:val="20"/>
          <w:szCs w:val="20"/>
        </w:rPr>
      </w:pPr>
      <w:r w:rsidRPr="00C74A09">
        <w:rPr>
          <w:rFonts w:ascii="Arial" w:eastAsia="Times New Roman" w:hAnsi="Arial" w:cs="Arial"/>
          <w:color w:val="000000"/>
          <w:sz w:val="20"/>
          <w:szCs w:val="20"/>
        </w:rPr>
        <w:t>Dugo Selo, 30.12.2002.</w:t>
      </w:r>
    </w:p>
    <w:p w:rsidR="00034FF9" w:rsidRDefault="00034FF9"/>
    <w:sectPr w:rsidR="00034F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C74A09"/>
    <w:rsid w:val="00034FF9"/>
    <w:rsid w:val="00C74A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C74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C74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
    <w:name w:val="tekst"/>
    <w:basedOn w:val="Normal"/>
    <w:rsid w:val="00C74A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74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C74A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681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2016-07-19T19:26:00Z</dcterms:created>
  <dcterms:modified xsi:type="dcterms:W3CDTF">2016-07-19T19:26:00Z</dcterms:modified>
</cp:coreProperties>
</file>